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0474BE57" w14:textId="77777777" w:rsidR="00D30AC7" w:rsidRDefault="00D30AC7" w:rsidP="00D30AC7">
      <w:pPr>
        <w:spacing w:after="0"/>
        <w:jc w:val="center"/>
        <w:rPr>
          <w:rFonts w:ascii="Times New Roman" w:hAnsi="Times New Roman"/>
          <w:sz w:val="28"/>
          <w:szCs w:val="28"/>
        </w:rPr>
      </w:pPr>
      <w:bookmarkStart w:id="0" w:name="_Hlk150857883"/>
      <w:r>
        <w:rPr>
          <w:rFonts w:ascii="Times New Roman" w:hAnsi="Times New Roman"/>
          <w:sz w:val="28"/>
          <w:szCs w:val="28"/>
        </w:rPr>
        <w:t>07.02.01 Архитектура</w:t>
      </w:r>
    </w:p>
    <w:bookmarkEnd w:id="0"/>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06EE68F7" w14:textId="77777777" w:rsidR="004327D4" w:rsidRPr="000C450F" w:rsidRDefault="004327D4" w:rsidP="000C450F">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учетом уточнений к рекомендациям от 25.05.2017 г. </w:t>
      </w:r>
      <w:r w:rsidRPr="000C450F">
        <w:rPr>
          <w:bCs/>
        </w:rPr>
        <w:t>ФГОС СПО по специальности:</w:t>
      </w:r>
    </w:p>
    <w:p w14:paraId="0CAC7A0C" w14:textId="77777777" w:rsidR="00D30AC7" w:rsidRDefault="00D30AC7" w:rsidP="00D30AC7">
      <w:pPr>
        <w:spacing w:after="0"/>
        <w:ind w:firstLineChars="300" w:firstLine="840"/>
        <w:jc w:val="both"/>
        <w:rPr>
          <w:rFonts w:ascii="Times New Roman" w:hAnsi="Times New Roman"/>
          <w:bCs/>
          <w:sz w:val="28"/>
          <w:szCs w:val="28"/>
        </w:rPr>
      </w:pPr>
      <w:r>
        <w:rPr>
          <w:rFonts w:ascii="Times New Roman" w:hAnsi="Times New Roman"/>
          <w:sz w:val="28"/>
          <w:szCs w:val="28"/>
        </w:rPr>
        <w:t>07.02.01 «Архитектура»</w:t>
      </w:r>
      <w:r>
        <w:rPr>
          <w:rFonts w:ascii="Times New Roman" w:hAnsi="Times New Roman"/>
          <w:bCs/>
          <w:sz w:val="28"/>
          <w:szCs w:val="28"/>
        </w:rPr>
        <w:t xml:space="preserve"> утвержденного приказом Министерства просвещения России от 9 ноября 2023 г. № 843. (зарегистрировано Министерством юстиции РФ от 08 декабря 2023 г., регистрационный № 76340).</w:t>
      </w:r>
    </w:p>
    <w:p w14:paraId="6765DB8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49A37AC0"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bookmarkStart w:id="1" w:name="_GoBack"/>
      <w:bookmarkEnd w:id="1"/>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коммуникативно-деятельностного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языка. При этом развиваются метапредметные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на основе компетентностного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культуроведческой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208F6767" w14:textId="6DE2E684" w:rsidR="007A6241" w:rsidRDefault="004327D4" w:rsidP="00D30AC7">
      <w:pPr>
        <w:spacing w:after="0"/>
        <w:jc w:val="both"/>
        <w:rPr>
          <w:rFonts w:ascii="Times New Roman" w:hAnsi="Times New Roman" w:cs="Times New Roman"/>
          <w:sz w:val="28"/>
          <w:szCs w:val="28"/>
        </w:rPr>
      </w:pPr>
      <w:r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специальности </w:t>
      </w:r>
      <w:r w:rsidR="00D30AC7" w:rsidRPr="00D30AC7">
        <w:rPr>
          <w:rFonts w:ascii="Times New Roman" w:hAnsi="Times New Roman" w:cs="Times New Roman"/>
          <w:sz w:val="28"/>
          <w:szCs w:val="28"/>
        </w:rPr>
        <w:t>07.02.01 Архитектура</w:t>
      </w:r>
      <w:r w:rsidR="00D30AC7">
        <w:rPr>
          <w:rFonts w:ascii="Times New Roman" w:hAnsi="Times New Roman" w:cs="Times New Roman"/>
          <w:sz w:val="28"/>
          <w:szCs w:val="28"/>
        </w:rPr>
        <w:t>.</w:t>
      </w:r>
    </w:p>
    <w:p w14:paraId="42F8A181" w14:textId="77777777"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развитие коммуникативной, лингвистической, культуроведческой 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 xml:space="preserve">формирование российской гражданской идентичности через родной </w:t>
      </w:r>
      <w:r w:rsidRPr="000C450F">
        <w:rPr>
          <w:rFonts w:ascii="Times New Roman" w:hAnsi="Times New Roman" w:cs="Times New Roman"/>
          <w:color w:val="000000" w:themeColor="text1"/>
          <w:sz w:val="28"/>
          <w:szCs w:val="28"/>
        </w:rPr>
        <w:lastRenderedPageBreak/>
        <w:t>(тувинский)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2"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аудирования,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6E78A3" w:rsidRPr="000C450F" w14:paraId="32620C71" w14:textId="77777777" w:rsidTr="00137C31">
        <w:trPr>
          <w:trHeight w:val="977"/>
        </w:trPr>
        <w:tc>
          <w:tcPr>
            <w:tcW w:w="2405" w:type="dxa"/>
          </w:tcPr>
          <w:p w14:paraId="493B26F9" w14:textId="4791DD42" w:rsidR="006E78A3" w:rsidRPr="000C450F" w:rsidRDefault="006E78A3" w:rsidP="006E78A3">
            <w:pPr>
              <w:suppressAutoHyphens/>
              <w:spacing w:after="0" w:line="276" w:lineRule="auto"/>
              <w:rPr>
                <w:rFonts w:ascii="Times New Roman" w:eastAsia="Calibri" w:hAnsi="Times New Roman" w:cs="Times New Roman"/>
                <w:iCs/>
                <w:sz w:val="28"/>
                <w:szCs w:val="28"/>
              </w:rPr>
            </w:pPr>
            <w:r w:rsidRPr="00D21142">
              <w:rPr>
                <w:rFonts w:ascii="Times New Roman" w:eastAsia="Helvetica" w:hAnsi="Times New Roman"/>
                <w:color w:val="1A1A1A"/>
                <w:sz w:val="28"/>
                <w:szCs w:val="28"/>
                <w:shd w:val="clear" w:color="auto" w:fill="FFFFFF"/>
                <w:lang w:eastAsia="zh-CN" w:bidi="ar"/>
              </w:rPr>
              <w:lastRenderedPageBreak/>
              <w:t>ПК 1.1. Подготавливать исходные</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данные для проектирования, в том</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числе для разработки отдельных</w:t>
            </w:r>
            <w:r>
              <w:rPr>
                <w:rFonts w:ascii="Times New Roman" w:eastAsia="Helvetica" w:hAnsi="Times New Roman"/>
                <w:color w:val="1A1A1A"/>
                <w:sz w:val="28"/>
                <w:szCs w:val="28"/>
                <w:shd w:val="clear" w:color="auto" w:fill="FFFFFF"/>
                <w:lang w:eastAsia="zh-CN" w:bidi="ar"/>
              </w:rPr>
              <w:t xml:space="preserve"> </w:t>
            </w:r>
            <w:r w:rsidRPr="00D21142">
              <w:rPr>
                <w:rFonts w:ascii="Times New Roman" w:eastAsia="Helvetica" w:hAnsi="Times New Roman"/>
                <w:color w:val="1A1A1A"/>
                <w:sz w:val="28"/>
                <w:szCs w:val="28"/>
                <w:shd w:val="clear" w:color="auto" w:fill="FFFFFF"/>
                <w:lang w:eastAsia="zh-CN" w:bidi="ar"/>
              </w:rPr>
              <w:t>архитектурных и объемно-планировочных решений</w:t>
            </w:r>
            <w:r>
              <w:rPr>
                <w:rFonts w:ascii="Times New Roman" w:eastAsia="Helvetica" w:hAnsi="Times New Roman"/>
                <w:color w:val="1A1A1A"/>
                <w:sz w:val="28"/>
                <w:szCs w:val="28"/>
              </w:rPr>
              <w:t>.</w:t>
            </w:r>
          </w:p>
        </w:tc>
        <w:tc>
          <w:tcPr>
            <w:tcW w:w="6662" w:type="dxa"/>
          </w:tcPr>
          <w:p w14:paraId="41E1FD86" w14:textId="77777777" w:rsidR="006E78A3" w:rsidRPr="002070AD" w:rsidRDefault="006E78A3" w:rsidP="006E78A3">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6E78A3" w:rsidRPr="000C450F" w:rsidRDefault="006E78A3" w:rsidP="006E78A3">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716E5FE7" w14:textId="15C7E1A3" w:rsidR="006E78A3" w:rsidRPr="000C450F" w:rsidRDefault="006E78A3" w:rsidP="006E78A3">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2"/>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3"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3"/>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 т.ч.</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r w:rsidRPr="000C450F">
              <w:rPr>
                <w:b/>
                <w:sz w:val="28"/>
                <w:szCs w:val="28"/>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r w:rsidRPr="000C450F">
              <w:rPr>
                <w:b/>
                <w:sz w:val="28"/>
                <w:szCs w:val="28"/>
              </w:rPr>
              <w:t>Основное содержание</w:t>
            </w:r>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r w:rsidRPr="000C450F">
              <w:rPr>
                <w:b/>
                <w:sz w:val="28"/>
                <w:szCs w:val="28"/>
              </w:rPr>
              <w:t>Основное содержание</w:t>
            </w:r>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аудирование,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r w:rsidRPr="000C450F">
              <w:rPr>
                <w:sz w:val="28"/>
                <w:szCs w:val="28"/>
                <w:lang w:val="ru-RU"/>
              </w:rPr>
              <w:t>аргументативного</w:t>
            </w:r>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r w:rsidRPr="000C450F">
              <w:rPr>
                <w:rFonts w:eastAsia="Calibri"/>
                <w:b/>
                <w:bCs/>
                <w:iCs/>
                <w:sz w:val="28"/>
                <w:szCs w:val="28"/>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4"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4"/>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Реализация Программы обеспечивается доступом обучающихся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(Минпросвещения</w:t>
      </w:r>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10 класс: учеб.издание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11класс: учеб.издание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дылдыӊ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Бавуу-Сюрюн М. В. Морфемно-орфографический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Биче-оол М. Д. Тыва дылдың орфографтыг словары [Орфографический словарь тувинского языка]. – Кызыл: Тув. книж.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Монгуш Д. А. Орус-тыва өөредилге словары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Топонимический словарь Тувы. – 2-е изд. – Кызыл: Тув. книж.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Краткий словарь гидронимов Тувы. – 2-е изд. – Кызыл: Тув. книж.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Орус-тыва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ред. Д. А. Монгуша.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Симчит К. Д. Орфографтыг словарь [Орфографический словарь: около 6500 слов]. – Кызыл: Тув. книж.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 Т.1: 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ред. Д. А. Монгуша.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 А–Й / Под ред. Д. А. Монгуша.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Т.II: К–С / Под ред. Д. А. Монгуша.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около 22 000 слов] / Под ред. Э. Р. Тенишева.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 Кызыл: Тув. книж.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Бичелдей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К.Б. Тыва чечен чогаал сөзүглелиниң филологтуг сайгарылгазы. Эртем ажылдарының чыындызы. Немелделиг болгаш эдилгелиг 2-ги үндүрүлгези.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Тувинская топонимия. Сопоставительный анализ топонимии Тувы с топонимией Южной Сибири и других тюркоязычных территорий. – Кызыл: ГУП РТ «Тываполиграф»,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Юго-восточный диалект тувинского языка. – Кызыл: РИО ТувГУ,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Сувандии Н.Д. Тыва дылда иви ажыл-агыйыныӊ лексиказы. – Кызыл: РИО ТувГУ,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Особенности языка рунического памятника Көжээлиг- Хову (Е-45) в сравнении с современным тувинским языком // Тюркская руника: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Салзынмаа Е. Б. Сопоставительная грамматика тувинского и русского языков. – Кызыл: РИО ТывГУ,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Тувинская антропонимия. – Кызыл: РИО ТывГУ,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Улаанбаатар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Уламсурэнгийн Ц. Образцы фольклора и речи кобдоских тувинцев: науч.-попул.издание / Ц. Уламсурэнгийн. – Кызыл: Тув. книж.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Төрээн (тыва) дылдыӊ морфологиязынга мергежилгелер чыындызы: өөредилге ному [Cборник упражнений по морфологии родного (тувинского) языка: учеб.пособие]. – Кызыл: Изд-во ТувГУ,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Тыва дыл болгаш чогаалды 8-11 класстарга хандыр өөредириниӊ шенелде программазы [Экспериментальная программа по углубленному изучению тувинского языка и литературы в 8-11 классах]. – Кызыл: ИРНШ МОиН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Кенин-Лопсан М. Б. Тыва чаӊчыл: учеб.издание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Айтырыг домактарын өөредип тура ажыглап болур чогаадыкчы ажылдар [Использование творческих работ при изучении вопросительных предложений] // Студентилерниӊ эртем-шинчилел ажылдарыныӊ чыындызы.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дылда айтырыг домактарын өөредириниң чамдык айтырыглары // Проблемы преподавания в школе и вузе на современном этапе. Материалы республиканской научно-практической конференции. – Кызыл: РИО ТывГУ,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диалектологияга мергежилгелер чыындызы [Cборник упражнений по родной диалектологии: учеб.пособие]. – Кызыл: РИО ТувГУ,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Куулар Е. М. Тыва дыл кичээлинге причастиени өөредири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Амгы тыва литературлуг дылга мергежилгелер чыындызы (нарын домак). – Кызыл: Типография КЦО «Аныяк»,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Ойдан-оол А. К. Тыва дыл болгаш харылзаалыг чугаа сайзырадылгазы: учеб. издание [Государственные стандарты, учебные программы по тувинскому языку: 5–11 классы] / А. К. Ойдан-оол, Ш. Ч. Сат, Н.Д. Сувандии.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Ооржак,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Н. Шүлүк болгаш</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аялга: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для учителей [Стихи и песни: на тувинском языке] / М. Н. Ооржак.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Салзынмаа Е. Б. Амгы тыва литературлуг дылга мергежилгелер чыындызы. Фонетика Лексикология [Cборник упражнений по фонетике и лексикологии родного (тувинского) языка: учеб.пособие]. – Кызыл: Тув.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Сат Ш. Ч. Тыва диалектология [Учебное пособие]. – Кызыл: РИО ТувГУ,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10–11 класстарга тыва дылга чижек кичээл планнары [Примерные поурочные планы по родному языку в 10-11 классах. Учебно-методическое пособие по курсу «Теория и методика обучения родному языку»]. – Кызыл: РИО ТывГУ,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Тыва дыл кичээлдеринге технологтуг карталар: ѳѳредилге-методиктиг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«Иностранный язык (английский язык)», 45.03.01 Филология для изучения дисциплины «Методика обучения родному языку»]. – Кызыл: РИО ТывГУ,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орфографияның болгаш пунктуацияның дүрүмнери [Правила орфографии и пунктуации тувинского языка]. – Выпуск № 2. – Кызыл: Республ.типогр.,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Республиканыӊ ниити өөредилгезиниӊ Күрүне стандартыныӊ национал-девискээр кезээ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Издание ИРНШ при МОиН РТ. – Кызыл: Тув. книж.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үлегер домактар болгаш чечен сөстер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поговорки тувинского народа]. – Кызыл: Тув. книж.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ГБНУ МОиН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«Нацональный музей Республики Тыва имени Алдан- Маадыр»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Даржа В. К. Лошадь в традиционной практике тувинцев-кочевников. – Новосибирск: ТувИКОПР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Волков Г. Н. Этнопедагогика тувинского народа. – Кызыл: Изд.- полигр. отд. «Билиг»,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Кара-оол Л. С. Термины родства и свойства в тувинском языке. – Кызыл: РИО ТувГУ,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Сундуй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Намзал Э. Холу чемзиг авам сөӊү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Салчак В. С. Тываларныӊ аӊныыр ажыл-агыйыныӊ дугайында чамдык медээлер [Некоторые сведения об охотничьем хозяйстве тувинцев: сборник статей]. – Кызыл: Типогр. КЦО «Аныяк»,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Серенот С. К. Буддизмниӊ тайылбырлыг словары [Словарь буддийских терминов: научно-популярное издание]. – Кызыл: Типогр. ИП Ооржак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Червонная С. М. Тыва Республиканыӊ чурукчулары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r w:rsidRPr="000C450F">
        <w:rPr>
          <w:rFonts w:ascii="Times New Roman" w:hAnsi="Times New Roman" w:cs="Times New Roman"/>
          <w:sz w:val="28"/>
          <w:szCs w:val="28"/>
        </w:rPr>
        <w:t xml:space="preserve">Чүлдүм Ч. М. Улусчу педагогикага ажыглаар чамдык сөстерниӊ, ужурларныӊ чижек тайылбыры [Примерные разъяснения терминов народной педагогики: пособие для учителей]. – Кызыл: </w:t>
      </w:r>
      <w:r>
        <w:rPr>
          <w:rFonts w:ascii="Times New Roman" w:hAnsi="Times New Roman" w:cs="Times New Roman"/>
          <w:sz w:val="28"/>
          <w:szCs w:val="28"/>
        </w:rPr>
        <w:t xml:space="preserve">Тув. книж.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смыслообразование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z w:val="28"/>
          <w:szCs w:val="28"/>
        </w:rPr>
        <w:t>метапредметных</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Основным объектом оценки метапредметных результатов служит сформированность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системно- деятельностного,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 xml:space="preserve">Системно-деятельностный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r w:rsidR="005227F4" w:rsidRPr="000C450F">
        <w:t>деятельностной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r w:rsidRPr="000C450F">
        <w:rPr>
          <w:rFonts w:ascii="Times New Roman" w:hAnsi="Times New Roman" w:cs="Times New Roman"/>
          <w:i/>
          <w:sz w:val="28"/>
          <w:szCs w:val="28"/>
        </w:rPr>
        <w:t>Внутритехникумовский</w:t>
      </w:r>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метапредметных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сформированность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F31A581" w14:textId="098CF09F" w:rsidR="006E78A3" w:rsidRPr="006E78A3" w:rsidRDefault="006E78A3" w:rsidP="006E78A3">
            <w:pPr>
              <w:spacing w:after="0" w:line="276" w:lineRule="auto"/>
              <w:ind w:left="57" w:right="57"/>
              <w:rPr>
                <w:rFonts w:ascii="Times New Roman" w:hAnsi="Times New Roman" w:cs="Times New Roman"/>
                <w:bCs/>
                <w:sz w:val="28"/>
                <w:szCs w:val="28"/>
              </w:rPr>
            </w:pPr>
            <w:r w:rsidRPr="006E78A3">
              <w:rPr>
                <w:rFonts w:ascii="Times New Roman" w:hAnsi="Times New Roman" w:cs="Times New Roman"/>
                <w:sz w:val="28"/>
                <w:szCs w:val="28"/>
              </w:rPr>
              <w:t>ПК 1.1. Подготавливать исходные данные для проектирования, в том числе для разработки отдельных архитектурных и объемно-планировочных решений.</w:t>
            </w:r>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5" w:name="_Toc118365543"/>
      <w:bookmarkEnd w:id="5"/>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A3CD48" w14:textId="77777777" w:rsidR="001E3392" w:rsidRDefault="001E3392" w:rsidP="00F241E3">
      <w:pPr>
        <w:spacing w:after="0" w:line="240" w:lineRule="auto"/>
      </w:pPr>
      <w:r>
        <w:separator/>
      </w:r>
    </w:p>
  </w:endnote>
  <w:endnote w:type="continuationSeparator" w:id="0">
    <w:p w14:paraId="12C1B400" w14:textId="77777777" w:rsidR="001E3392" w:rsidRDefault="001E3392"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00C9EAAD"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03186">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00C9EAAD"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A03186">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389B2155" w:rsidR="00A34823" w:rsidRDefault="00A34823">
        <w:pPr>
          <w:pStyle w:val="af2"/>
          <w:jc w:val="right"/>
        </w:pPr>
        <w:r>
          <w:fldChar w:fldCharType="begin"/>
        </w:r>
        <w:r>
          <w:instrText>PAGE   \* MERGEFORMAT</w:instrText>
        </w:r>
        <w:r>
          <w:fldChar w:fldCharType="separate"/>
        </w:r>
        <w:r w:rsidR="00A03186">
          <w:rPr>
            <w:noProof/>
          </w:rPr>
          <w:t>29</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3F0E4" w14:textId="77777777" w:rsidR="001E3392" w:rsidRDefault="001E3392" w:rsidP="00F241E3">
      <w:pPr>
        <w:spacing w:after="0" w:line="240" w:lineRule="auto"/>
      </w:pPr>
      <w:r>
        <w:separator/>
      </w:r>
    </w:p>
  </w:footnote>
  <w:footnote w:type="continuationSeparator" w:id="0">
    <w:p w14:paraId="7E73C8CD" w14:textId="77777777" w:rsidR="001E3392" w:rsidRDefault="001E3392"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634D2"/>
    <w:rsid w:val="001871AF"/>
    <w:rsid w:val="00194188"/>
    <w:rsid w:val="001A0C71"/>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7C1FB3-CE2C-4A1C-AF22-0A654514A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30</Pages>
  <Words>5663</Words>
  <Characters>32280</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10</cp:revision>
  <cp:lastPrinted>2023-01-24T07:47:00Z</cp:lastPrinted>
  <dcterms:created xsi:type="dcterms:W3CDTF">2022-11-17T13:39:00Z</dcterms:created>
  <dcterms:modified xsi:type="dcterms:W3CDTF">2025-05-13T09:14:00Z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